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73689748"/>
        <w:docPartObj>
          <w:docPartGallery w:val="Cover Pages"/>
          <w:docPartUnique/>
        </w:docPartObj>
      </w:sdtPr>
      <w:sdtEndPr>
        <w:rPr>
          <w:rFonts w:cstheme="majorHAnsi"/>
          <w:b/>
          <w:bCs/>
          <w:sz w:val="24"/>
          <w:szCs w:val="24"/>
        </w:rPr>
      </w:sdtEndPr>
      <w:sdtContent>
        <w:p w14:paraId="7B01A6B8" w14:textId="3B88B9C5" w:rsidR="0024004B" w:rsidRDefault="0024004B" w:rsidP="592C2895">
          <w:pPr>
            <w:pStyle w:val="BodyText"/>
            <w:spacing w:before="56"/>
            <w:jc w:val="both"/>
          </w:pPr>
          <w:r>
            <w:rPr>
              <w:noProof/>
            </w:rPr>
            <w:drawing>
              <wp:anchor distT="0" distB="0" distL="114300" distR="114300" simplePos="0" relativeHeight="251659264" behindDoc="0" locked="0" layoutInCell="1" allowOverlap="1" wp14:anchorId="130CAC32" wp14:editId="6836A818">
                <wp:simplePos x="0" y="0"/>
                <wp:positionH relativeFrom="page">
                  <wp:posOffset>1297305</wp:posOffset>
                </wp:positionH>
                <wp:positionV relativeFrom="margin">
                  <wp:align>top</wp:align>
                </wp:positionV>
                <wp:extent cx="5159375" cy="1257300"/>
                <wp:effectExtent l="0" t="0" r="0" b="0"/>
                <wp:wrapSquare wrapText="bothSides"/>
                <wp:docPr id="1595154539"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54539" name="Picture 1" descr="A close-up of a black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59375" cy="1257300"/>
                        </a:xfrm>
                        <a:prstGeom prst="rect">
                          <a:avLst/>
                        </a:prstGeom>
                      </pic:spPr>
                    </pic:pic>
                  </a:graphicData>
                </a:graphic>
                <wp14:sizeRelH relativeFrom="margin">
                  <wp14:pctWidth>0</wp14:pctWidth>
                </wp14:sizeRelH>
                <wp14:sizeRelV relativeFrom="margin">
                  <wp14:pctHeight>0</wp14:pctHeight>
                </wp14:sizeRelV>
              </wp:anchor>
            </w:drawing>
          </w:r>
        </w:p>
        <w:p w14:paraId="0965D86F" w14:textId="77777777" w:rsidR="0024004B" w:rsidRDefault="0024004B">
          <w:pPr>
            <w:pStyle w:val="BodyText"/>
            <w:ind w:left="340"/>
          </w:pPr>
        </w:p>
        <w:p w14:paraId="232CC9E8" w14:textId="77777777" w:rsidR="0024004B" w:rsidRDefault="0024004B">
          <w:pPr>
            <w:pStyle w:val="BodyText"/>
            <w:ind w:left="340"/>
          </w:pPr>
        </w:p>
        <w:p w14:paraId="084A89E0" w14:textId="77777777" w:rsidR="0024004B" w:rsidRDefault="0024004B">
          <w:pPr>
            <w:pStyle w:val="BodyText"/>
            <w:ind w:left="340"/>
          </w:pPr>
        </w:p>
        <w:p w14:paraId="04E6747D" w14:textId="48BB30C7" w:rsidR="0024004B" w:rsidRPr="0024004B" w:rsidRDefault="0024004B" w:rsidP="0024004B">
          <w:pPr>
            <w:pStyle w:val="Title"/>
            <w:pBdr>
              <w:bottom w:val="single" w:sz="8" w:space="25" w:color="4F81BD" w:themeColor="accent1"/>
            </w:pBdr>
            <w:spacing w:line="256" w:lineRule="auto"/>
            <w:ind w:left="1293" w:right="1072"/>
            <w:jc w:val="center"/>
            <w:rPr>
              <w:b/>
              <w:sz w:val="96"/>
              <w:szCs w:val="96"/>
            </w:rPr>
          </w:pPr>
          <w:r w:rsidRPr="0024004B">
            <w:rPr>
              <w:sz w:val="96"/>
              <w:szCs w:val="96"/>
            </w:rPr>
            <w:t>Charging and Remissions Policy</w:t>
          </w:r>
        </w:p>
        <w:p w14:paraId="180F8EEB" w14:textId="77777777" w:rsidR="0024004B" w:rsidRDefault="0024004B">
          <w:pPr>
            <w:pStyle w:val="BodyText"/>
            <w:rPr>
              <w:b/>
              <w:sz w:val="20"/>
            </w:rPr>
          </w:pPr>
        </w:p>
        <w:p w14:paraId="27EA86FE" w14:textId="77777777" w:rsidR="0024004B" w:rsidRDefault="0024004B">
          <w:pPr>
            <w:pStyle w:val="BodyText"/>
            <w:rPr>
              <w:b/>
              <w:sz w:val="20"/>
            </w:rPr>
          </w:pPr>
        </w:p>
        <w:p w14:paraId="6B498BE6" w14:textId="77777777" w:rsidR="0024004B" w:rsidRDefault="0024004B">
          <w:pPr>
            <w:pStyle w:val="BodyText"/>
            <w:rPr>
              <w:b/>
              <w:sz w:val="20"/>
            </w:rPr>
          </w:pPr>
        </w:p>
        <w:p w14:paraId="3FB7F88A" w14:textId="77777777" w:rsidR="0024004B" w:rsidRDefault="0024004B">
          <w:pPr>
            <w:pStyle w:val="BodyText"/>
            <w:spacing w:before="242"/>
            <w:rPr>
              <w:b/>
              <w:sz w:val="20"/>
            </w:rPr>
          </w:pPr>
        </w:p>
        <w:p w14:paraId="0FC6AB11" w14:textId="77777777" w:rsidR="0024004B" w:rsidRDefault="0024004B">
          <w:pPr>
            <w:pStyle w:val="BodyText"/>
            <w:spacing w:before="242"/>
            <w:rPr>
              <w:b/>
              <w:sz w:val="20"/>
            </w:rPr>
          </w:pPr>
        </w:p>
        <w:p w14:paraId="539D51FD" w14:textId="77777777" w:rsidR="0024004B" w:rsidRDefault="0024004B">
          <w:pPr>
            <w:pStyle w:val="BodyText"/>
            <w:spacing w:before="242"/>
            <w:rPr>
              <w:b/>
              <w:sz w:val="20"/>
            </w:rPr>
          </w:pPr>
        </w:p>
        <w:p w14:paraId="555F3432" w14:textId="77777777" w:rsidR="0024004B" w:rsidRDefault="0024004B">
          <w:pPr>
            <w:pStyle w:val="BodyText"/>
            <w:spacing w:before="242"/>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6"/>
            <w:gridCol w:w="4984"/>
          </w:tblGrid>
          <w:tr w:rsidR="0024004B" w14:paraId="251598AE" w14:textId="77777777" w:rsidTr="002619A9">
            <w:trPr>
              <w:trHeight w:val="251"/>
              <w:jc w:val="center"/>
            </w:trPr>
            <w:tc>
              <w:tcPr>
                <w:tcW w:w="4986" w:type="dxa"/>
              </w:tcPr>
              <w:p w14:paraId="40624179" w14:textId="77777777" w:rsidR="0024004B" w:rsidRDefault="0024004B">
                <w:pPr>
                  <w:pStyle w:val="TableParagraph"/>
                  <w:spacing w:line="232" w:lineRule="exact"/>
                  <w:ind w:left="107"/>
                  <w:rPr>
                    <w:rFonts w:ascii="Tahoma"/>
                    <w:b/>
                  </w:rPr>
                </w:pPr>
                <w:r>
                  <w:rPr>
                    <w:rFonts w:ascii="Tahoma"/>
                    <w:b/>
                  </w:rPr>
                  <w:t>Chair</w:t>
                </w:r>
                <w:r>
                  <w:rPr>
                    <w:rFonts w:ascii="Tahoma"/>
                    <w:b/>
                    <w:spacing w:val="-1"/>
                  </w:rPr>
                  <w:t xml:space="preserve"> </w:t>
                </w:r>
                <w:r>
                  <w:rPr>
                    <w:rFonts w:ascii="Tahoma"/>
                    <w:b/>
                  </w:rPr>
                  <w:t>of</w:t>
                </w:r>
                <w:r>
                  <w:rPr>
                    <w:rFonts w:ascii="Tahoma"/>
                    <w:b/>
                    <w:spacing w:val="-3"/>
                  </w:rPr>
                  <w:t xml:space="preserve"> </w:t>
                </w:r>
                <w:r>
                  <w:rPr>
                    <w:rFonts w:ascii="Tahoma"/>
                    <w:b/>
                    <w:spacing w:val="-2"/>
                  </w:rPr>
                  <w:t>Governors</w:t>
                </w:r>
              </w:p>
            </w:tc>
            <w:tc>
              <w:tcPr>
                <w:tcW w:w="4984" w:type="dxa"/>
              </w:tcPr>
              <w:p w14:paraId="14769A99" w14:textId="77777777" w:rsidR="0024004B" w:rsidRDefault="0024004B" w:rsidP="567A4FF0">
                <w:pPr>
                  <w:pStyle w:val="TableParagraph"/>
                  <w:spacing w:line="232" w:lineRule="exact"/>
                  <w:ind w:left="107"/>
                  <w:rPr>
                    <w:rFonts w:ascii="Tahoma"/>
                  </w:rPr>
                </w:pPr>
                <w:r w:rsidRPr="567A4FF0">
                  <w:rPr>
                    <w:rFonts w:ascii="Tahoma"/>
                  </w:rPr>
                  <w:t>Anna Houghton</w:t>
                </w:r>
              </w:p>
            </w:tc>
          </w:tr>
          <w:tr w:rsidR="0024004B" w14:paraId="4B35521A" w14:textId="77777777" w:rsidTr="002619A9">
            <w:trPr>
              <w:trHeight w:val="251"/>
              <w:jc w:val="center"/>
            </w:trPr>
            <w:tc>
              <w:tcPr>
                <w:tcW w:w="4986" w:type="dxa"/>
              </w:tcPr>
              <w:p w14:paraId="488F0E6C" w14:textId="77777777" w:rsidR="0024004B" w:rsidRDefault="0024004B">
                <w:pPr>
                  <w:pStyle w:val="TableParagraph"/>
                  <w:spacing w:line="232" w:lineRule="exact"/>
                  <w:ind w:left="107"/>
                  <w:rPr>
                    <w:rFonts w:ascii="Tahoma"/>
                    <w:b/>
                  </w:rPr>
                </w:pPr>
                <w:r>
                  <w:rPr>
                    <w:rFonts w:ascii="Tahoma"/>
                    <w:b/>
                    <w:spacing w:val="-2"/>
                  </w:rPr>
                  <w:t>Headteacher</w:t>
                </w:r>
              </w:p>
            </w:tc>
            <w:tc>
              <w:tcPr>
                <w:tcW w:w="4984" w:type="dxa"/>
              </w:tcPr>
              <w:p w14:paraId="33291C74" w14:textId="77777777" w:rsidR="0024004B" w:rsidRDefault="0024004B" w:rsidP="567A4FF0">
                <w:pPr>
                  <w:pStyle w:val="TableParagraph"/>
                  <w:spacing w:line="232" w:lineRule="exact"/>
                  <w:ind w:left="107"/>
                  <w:rPr>
                    <w:rFonts w:ascii="Tahoma"/>
                  </w:rPr>
                </w:pPr>
                <w:r w:rsidRPr="567A4FF0">
                  <w:rPr>
                    <w:rFonts w:ascii="Tahoma"/>
                  </w:rPr>
                  <w:t>Angela Sutton</w:t>
                </w:r>
              </w:p>
            </w:tc>
          </w:tr>
          <w:tr w:rsidR="0024004B" w14:paraId="3C49E04C" w14:textId="77777777" w:rsidTr="002619A9">
            <w:trPr>
              <w:trHeight w:val="251"/>
              <w:jc w:val="center"/>
            </w:trPr>
            <w:tc>
              <w:tcPr>
                <w:tcW w:w="4986" w:type="dxa"/>
              </w:tcPr>
              <w:p w14:paraId="579B7F9E" w14:textId="77777777" w:rsidR="0024004B" w:rsidRDefault="0024004B">
                <w:pPr>
                  <w:pStyle w:val="TableParagraph"/>
                  <w:spacing w:line="232" w:lineRule="exact"/>
                  <w:ind w:left="107"/>
                  <w:rPr>
                    <w:rFonts w:ascii="Tahoma"/>
                    <w:b/>
                    <w:spacing w:val="-2"/>
                  </w:rPr>
                </w:pPr>
                <w:r>
                  <w:rPr>
                    <w:rFonts w:ascii="Tahoma"/>
                    <w:b/>
                    <w:spacing w:val="-2"/>
                  </w:rPr>
                  <w:t>Lead</w:t>
                </w:r>
              </w:p>
            </w:tc>
            <w:tc>
              <w:tcPr>
                <w:tcW w:w="4984" w:type="dxa"/>
              </w:tcPr>
              <w:p w14:paraId="037BB7E1" w14:textId="3717BE3C" w:rsidR="0024004B" w:rsidRPr="567A4FF0" w:rsidRDefault="0024004B" w:rsidP="567A4FF0">
                <w:pPr>
                  <w:pStyle w:val="TableParagraph"/>
                  <w:spacing w:line="232" w:lineRule="exact"/>
                  <w:ind w:left="107"/>
                  <w:rPr>
                    <w:rFonts w:ascii="Tahoma"/>
                  </w:rPr>
                </w:pPr>
                <w:r>
                  <w:rPr>
                    <w:rFonts w:ascii="Tahoma"/>
                  </w:rPr>
                  <w:t>Lindsey Lowry</w:t>
                </w:r>
              </w:p>
            </w:tc>
          </w:tr>
          <w:tr w:rsidR="0024004B" w14:paraId="0E41F2CF" w14:textId="77777777" w:rsidTr="002619A9">
            <w:trPr>
              <w:trHeight w:val="254"/>
              <w:jc w:val="center"/>
            </w:trPr>
            <w:tc>
              <w:tcPr>
                <w:tcW w:w="4986" w:type="dxa"/>
              </w:tcPr>
              <w:p w14:paraId="792E87DE" w14:textId="5B236B3B" w:rsidR="0024004B" w:rsidRDefault="0024004B" w:rsidP="567A4FF0">
                <w:pPr>
                  <w:pStyle w:val="TableParagraph"/>
                  <w:spacing w:line="234" w:lineRule="exact"/>
                  <w:ind w:left="107"/>
                  <w:rPr>
                    <w:rFonts w:ascii="Tahoma"/>
                  </w:rPr>
                </w:pPr>
                <w:r w:rsidRPr="567A4FF0">
                  <w:rPr>
                    <w:rFonts w:ascii="Tahoma"/>
                    <w:b/>
                    <w:bCs/>
                  </w:rPr>
                  <w:t>Date</w:t>
                </w:r>
                <w:r w:rsidRPr="567A4FF0">
                  <w:rPr>
                    <w:rFonts w:ascii="Tahoma"/>
                    <w:b/>
                    <w:bCs/>
                    <w:spacing w:val="-4"/>
                  </w:rPr>
                  <w:t xml:space="preserve"> </w:t>
                </w:r>
                <w:r w:rsidRPr="567A4FF0">
                  <w:rPr>
                    <w:rFonts w:ascii="Tahoma"/>
                    <w:b/>
                    <w:bCs/>
                  </w:rPr>
                  <w:t>adopted:</w:t>
                </w:r>
                <w:r w:rsidRPr="567A4FF0">
                  <w:rPr>
                    <w:rFonts w:ascii="Tahoma"/>
                    <w:b/>
                    <w:bCs/>
                    <w:spacing w:val="1"/>
                  </w:rPr>
                  <w:t xml:space="preserve"> </w:t>
                </w:r>
                <w:r>
                  <w:rPr>
                    <w:rFonts w:ascii="Tahoma"/>
                    <w:b/>
                    <w:bCs/>
                    <w:spacing w:val="1"/>
                  </w:rPr>
                  <w:t>10/11/25</w:t>
                </w:r>
              </w:p>
            </w:tc>
            <w:tc>
              <w:tcPr>
                <w:tcW w:w="4984" w:type="dxa"/>
              </w:tcPr>
              <w:p w14:paraId="091F3BB3" w14:textId="3D8921E4" w:rsidR="0024004B" w:rsidRDefault="0024004B" w:rsidP="567A4FF0">
                <w:pPr>
                  <w:pStyle w:val="TableParagraph"/>
                  <w:spacing w:line="234" w:lineRule="exact"/>
                  <w:ind w:left="107"/>
                  <w:rPr>
                    <w:rFonts w:ascii="Tahoma"/>
                  </w:rPr>
                </w:pPr>
                <w:r w:rsidRPr="567A4FF0">
                  <w:rPr>
                    <w:rFonts w:ascii="Tahoma"/>
                    <w:b/>
                    <w:bCs/>
                  </w:rPr>
                  <w:t>Review</w:t>
                </w:r>
                <w:r w:rsidRPr="567A4FF0">
                  <w:rPr>
                    <w:rFonts w:ascii="Tahoma"/>
                    <w:b/>
                    <w:bCs/>
                    <w:spacing w:val="-7"/>
                  </w:rPr>
                  <w:t xml:space="preserve"> </w:t>
                </w:r>
                <w:r w:rsidRPr="567A4FF0">
                  <w:rPr>
                    <w:rFonts w:ascii="Tahoma"/>
                    <w:b/>
                    <w:bCs/>
                  </w:rPr>
                  <w:t>Date:</w:t>
                </w:r>
                <w:r w:rsidRPr="567A4FF0">
                  <w:rPr>
                    <w:rFonts w:ascii="Tahoma"/>
                    <w:b/>
                    <w:bCs/>
                    <w:spacing w:val="2"/>
                  </w:rPr>
                  <w:t xml:space="preserve"> </w:t>
                </w:r>
                <w:r>
                  <w:rPr>
                    <w:rFonts w:ascii="Tahoma"/>
                    <w:b/>
                    <w:bCs/>
                    <w:spacing w:val="2"/>
                  </w:rPr>
                  <w:t>November 2026</w:t>
                </w:r>
              </w:p>
            </w:tc>
          </w:tr>
        </w:tbl>
        <w:p w14:paraId="2FCD88B0" w14:textId="0B14E458" w:rsidR="0024004B" w:rsidRDefault="0024004B">
          <w:pPr>
            <w:rPr>
              <w:rFonts w:asciiTheme="majorHAnsi" w:hAnsiTheme="majorHAnsi" w:cstheme="majorHAnsi"/>
              <w:sz w:val="24"/>
              <w:szCs w:val="24"/>
            </w:rPr>
          </w:pPr>
          <w:r>
            <w:rPr>
              <w:rFonts w:cstheme="majorHAnsi"/>
              <w:b/>
              <w:bCs/>
              <w:sz w:val="24"/>
              <w:szCs w:val="24"/>
            </w:rPr>
            <w:br w:type="page"/>
          </w:r>
        </w:p>
      </w:sdtContent>
    </w:sdt>
    <w:p w14:paraId="43123295" w14:textId="44BD5E0A" w:rsidR="000F09B1" w:rsidRPr="0024004B" w:rsidRDefault="001D0A3B">
      <w:pPr>
        <w:pStyle w:val="Heading2"/>
        <w:rPr>
          <w:rFonts w:cstheme="majorHAnsi"/>
          <w:color w:val="auto"/>
          <w:sz w:val="24"/>
          <w:szCs w:val="24"/>
        </w:rPr>
      </w:pPr>
      <w:r w:rsidRPr="0024004B">
        <w:rPr>
          <w:rFonts w:cstheme="majorHAnsi"/>
          <w:color w:val="auto"/>
          <w:sz w:val="24"/>
          <w:szCs w:val="24"/>
        </w:rPr>
        <w:t>1. Introduction</w:t>
      </w:r>
    </w:p>
    <w:p w14:paraId="2C2B4876"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At Our Lady’s Catholic Primary School, we are committed to ensuring that every child can access a broad, balanced, and enriching education, regardless of family financial circumstances. This policy sets out when and how the school may make charges for certain activities and outlines how families can request financial support where needed. It complies with the Education Act 1996, DfE Guidance on Charging for School Activities (May 2018), and supports our mission statement:</w:t>
      </w:r>
      <w:r w:rsidRPr="0024004B">
        <w:rPr>
          <w:rFonts w:asciiTheme="majorHAnsi" w:hAnsiTheme="majorHAnsi" w:cstheme="majorHAnsi"/>
          <w:sz w:val="24"/>
          <w:szCs w:val="24"/>
        </w:rPr>
        <w:br/>
        <w:t>“Loving, learning and reaching out to all, with Jesus in our hearts and minds.”</w:t>
      </w:r>
    </w:p>
    <w:p w14:paraId="1387918A" w14:textId="77777777" w:rsidR="000F09B1" w:rsidRPr="0024004B" w:rsidRDefault="001D0A3B">
      <w:pPr>
        <w:pStyle w:val="Heading2"/>
        <w:rPr>
          <w:rFonts w:cstheme="majorHAnsi"/>
          <w:color w:val="auto"/>
          <w:sz w:val="24"/>
          <w:szCs w:val="24"/>
        </w:rPr>
      </w:pPr>
      <w:r w:rsidRPr="0024004B">
        <w:rPr>
          <w:rFonts w:cstheme="majorHAnsi"/>
          <w:color w:val="auto"/>
          <w:sz w:val="24"/>
          <w:szCs w:val="24"/>
        </w:rPr>
        <w:t>2. Aims</w:t>
      </w:r>
    </w:p>
    <w:p w14:paraId="52E71739"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 To make clear distinctions between activities for which charges will and will not be made.</w:t>
      </w:r>
      <w:r w:rsidRPr="0024004B">
        <w:rPr>
          <w:rFonts w:asciiTheme="majorHAnsi" w:hAnsiTheme="majorHAnsi" w:cstheme="majorHAnsi"/>
          <w:sz w:val="24"/>
          <w:szCs w:val="24"/>
        </w:rPr>
        <w:br/>
        <w:t>- To ensure equality of access to all educational opportunities.</w:t>
      </w:r>
      <w:r w:rsidRPr="0024004B">
        <w:rPr>
          <w:rFonts w:asciiTheme="majorHAnsi" w:hAnsiTheme="majorHAnsi" w:cstheme="majorHAnsi"/>
          <w:sz w:val="24"/>
          <w:szCs w:val="24"/>
        </w:rPr>
        <w:br/>
        <w:t>- To provide a fair and transparent system for remissions and financial support.</w:t>
      </w:r>
    </w:p>
    <w:p w14:paraId="0672D97A" w14:textId="77777777" w:rsidR="000F09B1" w:rsidRPr="0024004B" w:rsidRDefault="001D0A3B">
      <w:pPr>
        <w:pStyle w:val="Heading2"/>
        <w:rPr>
          <w:rFonts w:cstheme="majorHAnsi"/>
          <w:color w:val="auto"/>
          <w:sz w:val="24"/>
          <w:szCs w:val="24"/>
        </w:rPr>
      </w:pPr>
      <w:r w:rsidRPr="0024004B">
        <w:rPr>
          <w:rFonts w:cstheme="majorHAnsi"/>
          <w:color w:val="auto"/>
          <w:sz w:val="24"/>
          <w:szCs w:val="24"/>
        </w:rPr>
        <w:t>3. Voluntary Contributions</w:t>
      </w:r>
    </w:p>
    <w:p w14:paraId="7F0DC2C8"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Parents and carers may be invited to make voluntary contributions for activities such as educational visits, visitors to school, or workshops that enhance learning. No pupil will be excluded from an activity because a voluntary contribution has not been made. However, if insufficient contributions are received, the activity may need to be cancelled.</w:t>
      </w:r>
    </w:p>
    <w:p w14:paraId="4DF66BF7" w14:textId="77777777" w:rsidR="000F09B1" w:rsidRPr="0024004B" w:rsidRDefault="001D0A3B">
      <w:pPr>
        <w:pStyle w:val="Heading2"/>
        <w:rPr>
          <w:rFonts w:cstheme="majorHAnsi"/>
          <w:color w:val="auto"/>
          <w:sz w:val="24"/>
          <w:szCs w:val="24"/>
        </w:rPr>
      </w:pPr>
      <w:r w:rsidRPr="0024004B">
        <w:rPr>
          <w:rFonts w:cstheme="majorHAnsi"/>
          <w:color w:val="auto"/>
          <w:sz w:val="24"/>
          <w:szCs w:val="24"/>
        </w:rPr>
        <w:t>4. Activities and Services for Which Charges May Be Made</w:t>
      </w:r>
    </w:p>
    <w:p w14:paraId="0198BF92" w14:textId="6C8DD1E5"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The school may make a charge for:</w:t>
      </w:r>
      <w:r w:rsidRPr="0024004B">
        <w:rPr>
          <w:rFonts w:asciiTheme="majorHAnsi" w:hAnsiTheme="majorHAnsi" w:cstheme="majorHAnsi"/>
          <w:sz w:val="24"/>
          <w:szCs w:val="24"/>
        </w:rPr>
        <w:br/>
      </w:r>
      <w:r w:rsidRPr="0024004B">
        <w:rPr>
          <w:rFonts w:asciiTheme="majorHAnsi" w:hAnsiTheme="majorHAnsi" w:cstheme="majorHAnsi"/>
          <w:sz w:val="24"/>
          <w:szCs w:val="24"/>
        </w:rPr>
        <w:br/>
        <w:t>1. Board and lodging on residential visits (except where remissions apply – see Section 7).</w:t>
      </w:r>
      <w:r w:rsidRPr="0024004B">
        <w:rPr>
          <w:rFonts w:asciiTheme="majorHAnsi" w:hAnsiTheme="majorHAnsi" w:cstheme="majorHAnsi"/>
          <w:sz w:val="24"/>
          <w:szCs w:val="24"/>
        </w:rPr>
        <w:br/>
        <w:t>2. Activities outside school hours that are not part of the National Curriculum or statutory Religious Education.</w:t>
      </w:r>
      <w:r w:rsidRPr="0024004B">
        <w:rPr>
          <w:rFonts w:asciiTheme="majorHAnsi" w:hAnsiTheme="majorHAnsi" w:cstheme="majorHAnsi"/>
          <w:sz w:val="24"/>
          <w:szCs w:val="24"/>
        </w:rPr>
        <w:br/>
        <w:t xml:space="preserve">3. Music Tuition: Individual or small group lessons are </w:t>
      </w:r>
      <w:r w:rsidR="0024004B" w:rsidRPr="0024004B">
        <w:rPr>
          <w:rFonts w:asciiTheme="majorHAnsi" w:hAnsiTheme="majorHAnsi" w:cstheme="majorHAnsi"/>
          <w:sz w:val="24"/>
          <w:szCs w:val="24"/>
        </w:rPr>
        <w:t>charged</w:t>
      </w:r>
      <w:r w:rsidRPr="0024004B">
        <w:rPr>
          <w:rFonts w:asciiTheme="majorHAnsi" w:hAnsiTheme="majorHAnsi" w:cstheme="majorHAnsi"/>
          <w:sz w:val="24"/>
          <w:szCs w:val="24"/>
        </w:rPr>
        <w:t xml:space="preserve"> £4.00 per lesson, delivered by external music tutors. Whole-class music provision remains free of charge.</w:t>
      </w:r>
      <w:r w:rsidRPr="0024004B">
        <w:rPr>
          <w:rFonts w:asciiTheme="majorHAnsi" w:hAnsiTheme="majorHAnsi" w:cstheme="majorHAnsi"/>
          <w:sz w:val="24"/>
          <w:szCs w:val="24"/>
        </w:rPr>
        <w:br/>
        <w:t>4. Breakfast Club: A daily charge of £4.00 per session, including breakfast and supervision.</w:t>
      </w:r>
      <w:r w:rsidRPr="0024004B">
        <w:rPr>
          <w:rFonts w:asciiTheme="majorHAnsi" w:hAnsiTheme="majorHAnsi" w:cstheme="majorHAnsi"/>
          <w:sz w:val="24"/>
          <w:szCs w:val="24"/>
        </w:rPr>
        <w:br/>
        <w:t>5. After-School Club: A daily charge of £8.50 per session, covering care, activities, and a snack.</w:t>
      </w:r>
      <w:r w:rsidRPr="0024004B">
        <w:rPr>
          <w:rFonts w:asciiTheme="majorHAnsi" w:hAnsiTheme="majorHAnsi" w:cstheme="majorHAnsi"/>
          <w:sz w:val="24"/>
          <w:szCs w:val="24"/>
        </w:rPr>
        <w:br/>
        <w:t xml:space="preserve">6. Materials and ingredients for practical subjects (Art, DT, Cookery) where parents wish to </w:t>
      </w:r>
      <w:r w:rsidRPr="0024004B">
        <w:rPr>
          <w:rFonts w:asciiTheme="majorHAnsi" w:hAnsiTheme="majorHAnsi" w:cstheme="majorHAnsi"/>
          <w:sz w:val="24"/>
          <w:szCs w:val="24"/>
        </w:rPr>
        <w:lastRenderedPageBreak/>
        <w:t>keep the finished product.</w:t>
      </w:r>
      <w:r w:rsidRPr="0024004B">
        <w:rPr>
          <w:rFonts w:asciiTheme="majorHAnsi" w:hAnsiTheme="majorHAnsi" w:cstheme="majorHAnsi"/>
          <w:sz w:val="24"/>
          <w:szCs w:val="24"/>
        </w:rPr>
        <w:br/>
        <w:t>7. Breakages or damage to school property caused by deliberate or careless behaviour.</w:t>
      </w:r>
      <w:r w:rsidRPr="0024004B">
        <w:rPr>
          <w:rFonts w:asciiTheme="majorHAnsi" w:hAnsiTheme="majorHAnsi" w:cstheme="majorHAnsi"/>
          <w:sz w:val="24"/>
          <w:szCs w:val="24"/>
        </w:rPr>
        <w:br/>
        <w:t>8. Opti</w:t>
      </w:r>
      <w:r w:rsidRPr="0024004B">
        <w:rPr>
          <w:rFonts w:asciiTheme="majorHAnsi" w:hAnsiTheme="majorHAnsi" w:cstheme="majorHAnsi"/>
          <w:sz w:val="24"/>
          <w:szCs w:val="24"/>
        </w:rPr>
        <w:t>onal after-school clubs or activities run by external providers (charges set by the provider).</w:t>
      </w:r>
    </w:p>
    <w:p w14:paraId="5BF9F989" w14:textId="77777777" w:rsidR="000F09B1" w:rsidRPr="0024004B" w:rsidRDefault="001D0A3B">
      <w:pPr>
        <w:pStyle w:val="Heading2"/>
        <w:rPr>
          <w:rFonts w:cstheme="majorHAnsi"/>
          <w:color w:val="auto"/>
          <w:sz w:val="24"/>
          <w:szCs w:val="24"/>
        </w:rPr>
      </w:pPr>
      <w:r w:rsidRPr="0024004B">
        <w:rPr>
          <w:rFonts w:cstheme="majorHAnsi"/>
          <w:color w:val="auto"/>
          <w:sz w:val="24"/>
          <w:szCs w:val="24"/>
        </w:rPr>
        <w:t>5. Activities for Which Charges May Not Be Made</w:t>
      </w:r>
    </w:p>
    <w:p w14:paraId="1FE6F123"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The school will not charge for:</w:t>
      </w:r>
      <w:r w:rsidRPr="0024004B">
        <w:rPr>
          <w:rFonts w:asciiTheme="majorHAnsi" w:hAnsiTheme="majorHAnsi" w:cstheme="majorHAnsi"/>
          <w:sz w:val="24"/>
          <w:szCs w:val="24"/>
        </w:rPr>
        <w:br/>
        <w:t>- Admission or education provided during school hours.</w:t>
      </w:r>
      <w:r w:rsidRPr="0024004B">
        <w:rPr>
          <w:rFonts w:asciiTheme="majorHAnsi" w:hAnsiTheme="majorHAnsi" w:cstheme="majorHAnsi"/>
          <w:sz w:val="24"/>
          <w:szCs w:val="24"/>
        </w:rPr>
        <w:br/>
        <w:t>- Books, materials, or equipment required for curriculum delivery.</w:t>
      </w:r>
      <w:r w:rsidRPr="0024004B">
        <w:rPr>
          <w:rFonts w:asciiTheme="majorHAnsi" w:hAnsiTheme="majorHAnsi" w:cstheme="majorHAnsi"/>
          <w:sz w:val="24"/>
          <w:szCs w:val="24"/>
        </w:rPr>
        <w:br/>
        <w:t>- Activities that are part of the National Curriculum, statutory Religious Education, or part of the basic curriculum.</w:t>
      </w:r>
      <w:r w:rsidRPr="0024004B">
        <w:rPr>
          <w:rFonts w:asciiTheme="majorHAnsi" w:hAnsiTheme="majorHAnsi" w:cstheme="majorHAnsi"/>
          <w:sz w:val="24"/>
          <w:szCs w:val="24"/>
        </w:rPr>
        <w:br/>
        <w:t>- Entry for prescribed public examinations.</w:t>
      </w:r>
      <w:r w:rsidRPr="0024004B">
        <w:rPr>
          <w:rFonts w:asciiTheme="majorHAnsi" w:hAnsiTheme="majorHAnsi" w:cstheme="majorHAnsi"/>
          <w:sz w:val="24"/>
          <w:szCs w:val="24"/>
        </w:rPr>
        <w:br/>
        <w:t>- Transport provided between the school and other premises for curriculum purposes.</w:t>
      </w:r>
    </w:p>
    <w:p w14:paraId="79BD8E06" w14:textId="77777777" w:rsidR="000F09B1" w:rsidRPr="0024004B" w:rsidRDefault="001D0A3B">
      <w:pPr>
        <w:pStyle w:val="Heading2"/>
        <w:rPr>
          <w:rFonts w:cstheme="majorHAnsi"/>
          <w:color w:val="auto"/>
          <w:sz w:val="24"/>
          <w:szCs w:val="24"/>
        </w:rPr>
      </w:pPr>
      <w:r w:rsidRPr="0024004B">
        <w:rPr>
          <w:rFonts w:cstheme="majorHAnsi"/>
          <w:color w:val="auto"/>
          <w:sz w:val="24"/>
          <w:szCs w:val="24"/>
        </w:rPr>
        <w:t>6. Residential Visits</w:t>
      </w:r>
    </w:p>
    <w:p w14:paraId="77FE72DD"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Charges will be made for board and lodging on residential visits. Parents who meet the eligibility criteria in Section 7 may receive full or partial remission for these costs.</w:t>
      </w:r>
    </w:p>
    <w:p w14:paraId="77897DB2" w14:textId="77777777" w:rsidR="000F09B1" w:rsidRPr="0024004B" w:rsidRDefault="001D0A3B">
      <w:pPr>
        <w:pStyle w:val="Heading2"/>
        <w:rPr>
          <w:rFonts w:cstheme="majorHAnsi"/>
          <w:color w:val="auto"/>
          <w:sz w:val="24"/>
          <w:szCs w:val="24"/>
        </w:rPr>
      </w:pPr>
      <w:r w:rsidRPr="0024004B">
        <w:rPr>
          <w:rFonts w:cstheme="majorHAnsi"/>
          <w:color w:val="auto"/>
          <w:sz w:val="24"/>
          <w:szCs w:val="24"/>
        </w:rPr>
        <w:t>7. Remissions and Financial Support</w:t>
      </w:r>
    </w:p>
    <w:p w14:paraId="70A807C7"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Parents may be eligible for financial support if they receive:</w:t>
      </w:r>
      <w:r w:rsidRPr="0024004B">
        <w:rPr>
          <w:rFonts w:asciiTheme="majorHAnsi" w:hAnsiTheme="majorHAnsi" w:cstheme="majorHAnsi"/>
          <w:sz w:val="24"/>
          <w:szCs w:val="24"/>
        </w:rPr>
        <w:br/>
        <w:t>- Income Support</w:t>
      </w:r>
      <w:r w:rsidRPr="0024004B">
        <w:rPr>
          <w:rFonts w:asciiTheme="majorHAnsi" w:hAnsiTheme="majorHAnsi" w:cstheme="majorHAnsi"/>
          <w:sz w:val="24"/>
          <w:szCs w:val="24"/>
        </w:rPr>
        <w:br/>
        <w:t>- Income-based Jobseeker’s Allowance</w:t>
      </w:r>
      <w:r w:rsidRPr="0024004B">
        <w:rPr>
          <w:rFonts w:asciiTheme="majorHAnsi" w:hAnsiTheme="majorHAnsi" w:cstheme="majorHAnsi"/>
          <w:sz w:val="24"/>
          <w:szCs w:val="24"/>
        </w:rPr>
        <w:br/>
        <w:t>- Income-related Employment and Support Allowance</w:t>
      </w:r>
      <w:r w:rsidRPr="0024004B">
        <w:rPr>
          <w:rFonts w:asciiTheme="majorHAnsi" w:hAnsiTheme="majorHAnsi" w:cstheme="majorHAnsi"/>
          <w:sz w:val="24"/>
          <w:szCs w:val="24"/>
        </w:rPr>
        <w:br/>
        <w:t>- Support under Part VI of the Immigration and Asylum Act 1999</w:t>
      </w:r>
      <w:r w:rsidRPr="0024004B">
        <w:rPr>
          <w:rFonts w:asciiTheme="majorHAnsi" w:hAnsiTheme="majorHAnsi" w:cstheme="majorHAnsi"/>
          <w:sz w:val="24"/>
          <w:szCs w:val="24"/>
        </w:rPr>
        <w:br/>
        <w:t>- Child Tax Credit (without Working Tax Credit entitlement)</w:t>
      </w:r>
      <w:r w:rsidRPr="0024004B">
        <w:rPr>
          <w:rFonts w:asciiTheme="majorHAnsi" w:hAnsiTheme="majorHAnsi" w:cstheme="majorHAnsi"/>
          <w:sz w:val="24"/>
          <w:szCs w:val="24"/>
        </w:rPr>
        <w:br/>
        <w:t>- Universal Credit (subject to income thresholds)</w:t>
      </w:r>
      <w:r w:rsidRPr="0024004B">
        <w:rPr>
          <w:rFonts w:asciiTheme="majorHAnsi" w:hAnsiTheme="majorHAnsi" w:cstheme="majorHAnsi"/>
          <w:sz w:val="24"/>
          <w:szCs w:val="24"/>
        </w:rPr>
        <w:br/>
      </w:r>
      <w:r w:rsidRPr="0024004B">
        <w:rPr>
          <w:rFonts w:asciiTheme="majorHAnsi" w:hAnsiTheme="majorHAnsi" w:cstheme="majorHAnsi"/>
          <w:sz w:val="24"/>
          <w:szCs w:val="24"/>
        </w:rPr>
        <w:br/>
        <w:t>The Headteacher, in consultation with the Chair of Governors, may offer additional assistance to families experiencing financial hardship.</w:t>
      </w:r>
    </w:p>
    <w:p w14:paraId="793F4FB5" w14:textId="77777777" w:rsidR="000F09B1" w:rsidRPr="0024004B" w:rsidRDefault="001D0A3B">
      <w:pPr>
        <w:pStyle w:val="Heading2"/>
        <w:rPr>
          <w:rFonts w:cstheme="majorHAnsi"/>
          <w:color w:val="auto"/>
          <w:sz w:val="24"/>
          <w:szCs w:val="24"/>
        </w:rPr>
      </w:pPr>
      <w:r w:rsidRPr="0024004B">
        <w:rPr>
          <w:rFonts w:cstheme="majorHAnsi"/>
          <w:color w:val="auto"/>
          <w:sz w:val="24"/>
          <w:szCs w:val="24"/>
        </w:rPr>
        <w:t>8. Damage and Loss</w:t>
      </w:r>
    </w:p>
    <w:p w14:paraId="0CE1BAAF"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Parents may be asked to pay the cost of replacement or repair for any school property or equipment deliberately damaged or lost by their child.</w:t>
      </w:r>
    </w:p>
    <w:p w14:paraId="4AC37CA7" w14:textId="77777777" w:rsidR="000F09B1" w:rsidRPr="0024004B" w:rsidRDefault="001D0A3B">
      <w:pPr>
        <w:pStyle w:val="Heading2"/>
        <w:rPr>
          <w:rFonts w:cstheme="majorHAnsi"/>
          <w:color w:val="auto"/>
          <w:sz w:val="24"/>
          <w:szCs w:val="24"/>
        </w:rPr>
      </w:pPr>
      <w:r w:rsidRPr="0024004B">
        <w:rPr>
          <w:rFonts w:cstheme="majorHAnsi"/>
          <w:color w:val="auto"/>
          <w:sz w:val="24"/>
          <w:szCs w:val="24"/>
        </w:rPr>
        <w:t>9. Monitoring and Review</w:t>
      </w:r>
    </w:p>
    <w:p w14:paraId="4891EB88"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This policy will be reviewed annually by the Governing Body to ensure compliance with legislation and fairness in practice.</w:t>
      </w:r>
    </w:p>
    <w:p w14:paraId="2105AA95" w14:textId="77777777" w:rsidR="000F09B1" w:rsidRPr="0024004B" w:rsidRDefault="001D0A3B">
      <w:pPr>
        <w:pStyle w:val="Heading2"/>
        <w:rPr>
          <w:rFonts w:cstheme="majorHAnsi"/>
          <w:color w:val="auto"/>
          <w:sz w:val="24"/>
          <w:szCs w:val="24"/>
        </w:rPr>
      </w:pPr>
      <w:r w:rsidRPr="0024004B">
        <w:rPr>
          <w:rFonts w:cstheme="majorHAnsi"/>
          <w:color w:val="auto"/>
          <w:sz w:val="24"/>
          <w:szCs w:val="24"/>
        </w:rPr>
        <w:t>10. Communication</w:t>
      </w:r>
    </w:p>
    <w:p w14:paraId="716DD85D"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This policy will be published on the school website and available in the school office. All specific charges will be communicated clearly to parents in advance of any activity.</w:t>
      </w:r>
    </w:p>
    <w:p w14:paraId="1E125781" w14:textId="77777777" w:rsidR="000F09B1" w:rsidRPr="0024004B" w:rsidRDefault="001D0A3B">
      <w:pPr>
        <w:pStyle w:val="Heading2"/>
        <w:rPr>
          <w:rFonts w:cstheme="majorHAnsi"/>
          <w:color w:val="auto"/>
          <w:sz w:val="24"/>
          <w:szCs w:val="24"/>
        </w:rPr>
      </w:pPr>
      <w:r w:rsidRPr="0024004B">
        <w:rPr>
          <w:rFonts w:cstheme="majorHAnsi"/>
          <w:color w:val="auto"/>
          <w:sz w:val="24"/>
          <w:szCs w:val="24"/>
        </w:rPr>
        <w:lastRenderedPageBreak/>
        <w:t>Appendix 1 – Summary of Charges</w:t>
      </w:r>
    </w:p>
    <w:tbl>
      <w:tblPr>
        <w:tblW w:w="0" w:type="auto"/>
        <w:tblLook w:val="04A0" w:firstRow="1" w:lastRow="0" w:firstColumn="1" w:lastColumn="0" w:noHBand="0" w:noVBand="1"/>
      </w:tblPr>
      <w:tblGrid>
        <w:gridCol w:w="2160"/>
        <w:gridCol w:w="2176"/>
        <w:gridCol w:w="2160"/>
        <w:gridCol w:w="2160"/>
      </w:tblGrid>
      <w:tr w:rsidR="0024004B" w:rsidRPr="0024004B" w14:paraId="72795E2D" w14:textId="77777777">
        <w:tc>
          <w:tcPr>
            <w:tcW w:w="2160" w:type="dxa"/>
          </w:tcPr>
          <w:p w14:paraId="40B3C31C"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Activity / Service</w:t>
            </w:r>
          </w:p>
        </w:tc>
        <w:tc>
          <w:tcPr>
            <w:tcW w:w="2160" w:type="dxa"/>
          </w:tcPr>
          <w:p w14:paraId="4B50DB71"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Description</w:t>
            </w:r>
          </w:p>
        </w:tc>
        <w:tc>
          <w:tcPr>
            <w:tcW w:w="2160" w:type="dxa"/>
          </w:tcPr>
          <w:p w14:paraId="77FF68D2"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Charge</w:t>
            </w:r>
          </w:p>
        </w:tc>
        <w:tc>
          <w:tcPr>
            <w:tcW w:w="2160" w:type="dxa"/>
          </w:tcPr>
          <w:p w14:paraId="1C653A46"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Notes / Remissions</w:t>
            </w:r>
          </w:p>
        </w:tc>
      </w:tr>
      <w:tr w:rsidR="0024004B" w:rsidRPr="0024004B" w14:paraId="3E76C7E1" w14:textId="77777777">
        <w:tc>
          <w:tcPr>
            <w:tcW w:w="2160" w:type="dxa"/>
          </w:tcPr>
          <w:p w14:paraId="351EE0E1"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Breakfast Club</w:t>
            </w:r>
          </w:p>
        </w:tc>
        <w:tc>
          <w:tcPr>
            <w:tcW w:w="2160" w:type="dxa"/>
          </w:tcPr>
          <w:p w14:paraId="7CA5ED61"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Includes breakfast and supervision before school hours.</w:t>
            </w:r>
          </w:p>
        </w:tc>
        <w:tc>
          <w:tcPr>
            <w:tcW w:w="2160" w:type="dxa"/>
          </w:tcPr>
          <w:p w14:paraId="049093AF"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£4.00 per session</w:t>
            </w:r>
          </w:p>
        </w:tc>
        <w:tc>
          <w:tcPr>
            <w:tcW w:w="2160" w:type="dxa"/>
          </w:tcPr>
          <w:p w14:paraId="397E545A"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No charge reductions except at Headteacher’s discretion.</w:t>
            </w:r>
          </w:p>
        </w:tc>
      </w:tr>
      <w:tr w:rsidR="0024004B" w:rsidRPr="0024004B" w14:paraId="6087CE22" w14:textId="77777777">
        <w:tc>
          <w:tcPr>
            <w:tcW w:w="2160" w:type="dxa"/>
          </w:tcPr>
          <w:p w14:paraId="6DDECBA4"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After-School Club</w:t>
            </w:r>
          </w:p>
        </w:tc>
        <w:tc>
          <w:tcPr>
            <w:tcW w:w="2160" w:type="dxa"/>
          </w:tcPr>
          <w:p w14:paraId="173748AB" w14:textId="19B5CE34"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 xml:space="preserve">After-school care with </w:t>
            </w:r>
            <w:r w:rsidR="0024004B" w:rsidRPr="0024004B">
              <w:rPr>
                <w:rFonts w:asciiTheme="majorHAnsi" w:hAnsiTheme="majorHAnsi" w:cstheme="majorHAnsi"/>
                <w:sz w:val="24"/>
                <w:szCs w:val="24"/>
              </w:rPr>
              <w:t>snacks</w:t>
            </w:r>
            <w:r w:rsidRPr="0024004B">
              <w:rPr>
                <w:rFonts w:asciiTheme="majorHAnsi" w:hAnsiTheme="majorHAnsi" w:cstheme="majorHAnsi"/>
                <w:sz w:val="24"/>
                <w:szCs w:val="24"/>
              </w:rPr>
              <w:t>, activities, and supervision.</w:t>
            </w:r>
          </w:p>
        </w:tc>
        <w:tc>
          <w:tcPr>
            <w:tcW w:w="2160" w:type="dxa"/>
          </w:tcPr>
          <w:p w14:paraId="3EEB85CA"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£8.50 per session</w:t>
            </w:r>
          </w:p>
        </w:tc>
        <w:tc>
          <w:tcPr>
            <w:tcW w:w="2160" w:type="dxa"/>
          </w:tcPr>
          <w:p w14:paraId="6C785CAA"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No charge reductions except at Headteacher’s discretion.</w:t>
            </w:r>
          </w:p>
        </w:tc>
      </w:tr>
      <w:tr w:rsidR="0024004B" w:rsidRPr="0024004B" w14:paraId="62DA3CDE" w14:textId="77777777">
        <w:tc>
          <w:tcPr>
            <w:tcW w:w="2160" w:type="dxa"/>
          </w:tcPr>
          <w:p w14:paraId="54FBC93D"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Music Tuition</w:t>
            </w:r>
          </w:p>
        </w:tc>
        <w:tc>
          <w:tcPr>
            <w:tcW w:w="2160" w:type="dxa"/>
          </w:tcPr>
          <w:p w14:paraId="5A640FA9"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Individual or small group lessons with visiting tutor.</w:t>
            </w:r>
          </w:p>
        </w:tc>
        <w:tc>
          <w:tcPr>
            <w:tcW w:w="2160" w:type="dxa"/>
          </w:tcPr>
          <w:p w14:paraId="4BB9B2D1"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£4.00 per lesson</w:t>
            </w:r>
          </w:p>
        </w:tc>
        <w:tc>
          <w:tcPr>
            <w:tcW w:w="2160" w:type="dxa"/>
          </w:tcPr>
          <w:p w14:paraId="2E0DCF66"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Optional; whole-class music remains free.</w:t>
            </w:r>
          </w:p>
        </w:tc>
      </w:tr>
      <w:tr w:rsidR="0024004B" w:rsidRPr="0024004B" w14:paraId="49CC5B42" w14:textId="77777777">
        <w:tc>
          <w:tcPr>
            <w:tcW w:w="2160" w:type="dxa"/>
          </w:tcPr>
          <w:p w14:paraId="695DEF0E"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Educational Visits / Trips</w:t>
            </w:r>
          </w:p>
        </w:tc>
        <w:tc>
          <w:tcPr>
            <w:tcW w:w="2160" w:type="dxa"/>
          </w:tcPr>
          <w:p w14:paraId="53A8E731"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Day visits linked to curriculum learning.</w:t>
            </w:r>
          </w:p>
        </w:tc>
        <w:tc>
          <w:tcPr>
            <w:tcW w:w="2160" w:type="dxa"/>
          </w:tcPr>
          <w:p w14:paraId="11BA2D5A"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Voluntary contribution</w:t>
            </w:r>
          </w:p>
        </w:tc>
        <w:tc>
          <w:tcPr>
            <w:tcW w:w="2160" w:type="dxa"/>
          </w:tcPr>
          <w:p w14:paraId="2E6A9469"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No pupil excluded; activity may be cancelled if insufficient funds.</w:t>
            </w:r>
          </w:p>
        </w:tc>
      </w:tr>
      <w:tr w:rsidR="0024004B" w:rsidRPr="0024004B" w14:paraId="35B2C4B6" w14:textId="77777777">
        <w:tc>
          <w:tcPr>
            <w:tcW w:w="2160" w:type="dxa"/>
          </w:tcPr>
          <w:p w14:paraId="3FD5C805"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Residential Visits</w:t>
            </w:r>
          </w:p>
        </w:tc>
        <w:tc>
          <w:tcPr>
            <w:tcW w:w="2160" w:type="dxa"/>
          </w:tcPr>
          <w:p w14:paraId="076747E1"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Overnight educational visits.</w:t>
            </w:r>
          </w:p>
        </w:tc>
        <w:tc>
          <w:tcPr>
            <w:tcW w:w="2160" w:type="dxa"/>
          </w:tcPr>
          <w:p w14:paraId="203D30F9"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Board and lodging costs only</w:t>
            </w:r>
          </w:p>
        </w:tc>
        <w:tc>
          <w:tcPr>
            <w:tcW w:w="2160" w:type="dxa"/>
          </w:tcPr>
          <w:p w14:paraId="668C76B4" w14:textId="454A7426"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 xml:space="preserve">Remission </w:t>
            </w:r>
            <w:r w:rsidR="0024004B" w:rsidRPr="0024004B">
              <w:rPr>
                <w:rFonts w:asciiTheme="majorHAnsi" w:hAnsiTheme="majorHAnsi" w:cstheme="majorHAnsi"/>
                <w:sz w:val="24"/>
                <w:szCs w:val="24"/>
              </w:rPr>
              <w:t>is available</w:t>
            </w:r>
            <w:r w:rsidRPr="0024004B">
              <w:rPr>
                <w:rFonts w:asciiTheme="majorHAnsi" w:hAnsiTheme="majorHAnsi" w:cstheme="majorHAnsi"/>
                <w:sz w:val="24"/>
                <w:szCs w:val="24"/>
              </w:rPr>
              <w:t xml:space="preserve"> for eligible families.</w:t>
            </w:r>
          </w:p>
        </w:tc>
      </w:tr>
      <w:tr w:rsidR="0024004B" w:rsidRPr="0024004B" w14:paraId="46E7504D" w14:textId="77777777">
        <w:tc>
          <w:tcPr>
            <w:tcW w:w="2160" w:type="dxa"/>
          </w:tcPr>
          <w:p w14:paraId="2631547C"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Optional Extra-Curricular Activities</w:t>
            </w:r>
          </w:p>
        </w:tc>
        <w:tc>
          <w:tcPr>
            <w:tcW w:w="2160" w:type="dxa"/>
          </w:tcPr>
          <w:p w14:paraId="4D82CEC5"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Clubs provided by external providers.</w:t>
            </w:r>
          </w:p>
        </w:tc>
        <w:tc>
          <w:tcPr>
            <w:tcW w:w="2160" w:type="dxa"/>
          </w:tcPr>
          <w:p w14:paraId="2E433E79"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Set by provider</w:t>
            </w:r>
          </w:p>
        </w:tc>
        <w:tc>
          <w:tcPr>
            <w:tcW w:w="2160" w:type="dxa"/>
          </w:tcPr>
          <w:p w14:paraId="64C078CE"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Information provided separately.</w:t>
            </w:r>
          </w:p>
        </w:tc>
      </w:tr>
      <w:tr w:rsidR="0024004B" w:rsidRPr="0024004B" w14:paraId="395762C8" w14:textId="77777777">
        <w:tc>
          <w:tcPr>
            <w:tcW w:w="2160" w:type="dxa"/>
          </w:tcPr>
          <w:p w14:paraId="33006F2B"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Practical Subject Materials</w:t>
            </w:r>
          </w:p>
        </w:tc>
        <w:tc>
          <w:tcPr>
            <w:tcW w:w="2160" w:type="dxa"/>
          </w:tcPr>
          <w:p w14:paraId="32B58C41"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Art, DT, or cooking items pupils keep.</w:t>
            </w:r>
          </w:p>
        </w:tc>
        <w:tc>
          <w:tcPr>
            <w:tcW w:w="2160" w:type="dxa"/>
          </w:tcPr>
          <w:p w14:paraId="79D265F6"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Cost of materials only</w:t>
            </w:r>
          </w:p>
        </w:tc>
        <w:tc>
          <w:tcPr>
            <w:tcW w:w="2160" w:type="dxa"/>
          </w:tcPr>
          <w:p w14:paraId="179E9218"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Optional contribution.</w:t>
            </w:r>
          </w:p>
        </w:tc>
      </w:tr>
      <w:tr w:rsidR="0024004B" w:rsidRPr="0024004B" w14:paraId="619B6193" w14:textId="77777777">
        <w:tc>
          <w:tcPr>
            <w:tcW w:w="2160" w:type="dxa"/>
          </w:tcPr>
          <w:p w14:paraId="6875781B"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Deliberate Damage or Loss</w:t>
            </w:r>
          </w:p>
        </w:tc>
        <w:tc>
          <w:tcPr>
            <w:tcW w:w="2160" w:type="dxa"/>
          </w:tcPr>
          <w:p w14:paraId="7D8DA1C2"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Repair/replacement of property or equipment.</w:t>
            </w:r>
          </w:p>
        </w:tc>
        <w:tc>
          <w:tcPr>
            <w:tcW w:w="2160" w:type="dxa"/>
          </w:tcPr>
          <w:p w14:paraId="3D839CA4"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Actual cost</w:t>
            </w:r>
          </w:p>
        </w:tc>
        <w:tc>
          <w:tcPr>
            <w:tcW w:w="2160" w:type="dxa"/>
          </w:tcPr>
          <w:p w14:paraId="7D1D2182"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t>Charge applied only when damage/loss deliberate.</w:t>
            </w:r>
          </w:p>
        </w:tc>
      </w:tr>
    </w:tbl>
    <w:p w14:paraId="20FB2D3B" w14:textId="77777777" w:rsidR="000F09B1" w:rsidRPr="0024004B" w:rsidRDefault="001D0A3B">
      <w:pPr>
        <w:rPr>
          <w:rFonts w:asciiTheme="majorHAnsi" w:hAnsiTheme="majorHAnsi" w:cstheme="majorHAnsi"/>
          <w:sz w:val="24"/>
          <w:szCs w:val="24"/>
        </w:rPr>
      </w:pPr>
      <w:r w:rsidRPr="0024004B">
        <w:rPr>
          <w:rFonts w:asciiTheme="majorHAnsi" w:hAnsiTheme="majorHAnsi" w:cstheme="majorHAnsi"/>
          <w:sz w:val="24"/>
          <w:szCs w:val="24"/>
        </w:rPr>
        <w:br/>
        <w:t>All charges are reviewed annually by the Governing Body. The Headteacher has discretion to offer financial support in exceptional cases. Parents will be notified in advance of any changes to charges.</w:t>
      </w:r>
    </w:p>
    <w:sectPr w:rsidR="000F09B1" w:rsidRPr="0024004B" w:rsidSect="0024004B">
      <w:pgSz w:w="12240" w:h="15840"/>
      <w:pgMar w:top="1440" w:right="180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0711465">
    <w:abstractNumId w:val="8"/>
  </w:num>
  <w:num w:numId="2" w16cid:durableId="1516069260">
    <w:abstractNumId w:val="6"/>
  </w:num>
  <w:num w:numId="3" w16cid:durableId="446854757">
    <w:abstractNumId w:val="5"/>
  </w:num>
  <w:num w:numId="4" w16cid:durableId="1773357467">
    <w:abstractNumId w:val="4"/>
  </w:num>
  <w:num w:numId="5" w16cid:durableId="2114785928">
    <w:abstractNumId w:val="7"/>
  </w:num>
  <w:num w:numId="6" w16cid:durableId="1914268693">
    <w:abstractNumId w:val="3"/>
  </w:num>
  <w:num w:numId="7" w16cid:durableId="538933089">
    <w:abstractNumId w:val="2"/>
  </w:num>
  <w:num w:numId="8" w16cid:durableId="541093935">
    <w:abstractNumId w:val="1"/>
  </w:num>
  <w:num w:numId="9" w16cid:durableId="165668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D95"/>
    <w:rsid w:val="000F09B1"/>
    <w:rsid w:val="0015074B"/>
    <w:rsid w:val="001D0A3B"/>
    <w:rsid w:val="0024004B"/>
    <w:rsid w:val="0029639D"/>
    <w:rsid w:val="00326F90"/>
    <w:rsid w:val="004020FE"/>
    <w:rsid w:val="00541633"/>
    <w:rsid w:val="00584F88"/>
    <w:rsid w:val="007B0D8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B331C"/>
  <w14:defaultImageDpi w14:val="300"/>
  <w15:docId w15:val="{7FA0D96A-DA42-480F-8A82-D103FC56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24004B"/>
    <w:pPr>
      <w:widowControl w:val="0"/>
      <w:autoSpaceDE w:val="0"/>
      <w:autoSpaceDN w:val="0"/>
      <w:spacing w:after="0" w:line="240" w:lineRule="auto"/>
      <w:ind w:left="11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4593</Characters>
  <Application>Microsoft Office Word</Application>
  <DocSecurity>0</DocSecurity>
  <Lines>153</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Angela, Sutton</cp:lastModifiedBy>
  <cp:revision>2</cp:revision>
  <dcterms:created xsi:type="dcterms:W3CDTF">2026-01-26T11:27:00Z</dcterms:created>
  <dcterms:modified xsi:type="dcterms:W3CDTF">2026-01-26T11:27:00Z</dcterms:modified>
  <cp:category/>
</cp:coreProperties>
</file>